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5"/>
        <w:gridCol w:w="4"/>
        <w:gridCol w:w="452"/>
        <w:gridCol w:w="445"/>
        <w:gridCol w:w="4"/>
        <w:gridCol w:w="491"/>
        <w:gridCol w:w="445"/>
        <w:gridCol w:w="4"/>
        <w:gridCol w:w="424"/>
        <w:gridCol w:w="445"/>
        <w:gridCol w:w="4"/>
        <w:gridCol w:w="451"/>
        <w:gridCol w:w="445"/>
        <w:gridCol w:w="4"/>
        <w:gridCol w:w="28"/>
        <w:gridCol w:w="445"/>
        <w:gridCol w:w="4"/>
        <w:gridCol w:w="383"/>
        <w:gridCol w:w="445"/>
        <w:gridCol w:w="4"/>
        <w:gridCol w:w="656"/>
        <w:gridCol w:w="445"/>
        <w:gridCol w:w="4"/>
        <w:gridCol w:w="178"/>
        <w:gridCol w:w="445"/>
        <w:gridCol w:w="4"/>
        <w:gridCol w:w="915"/>
        <w:gridCol w:w="445"/>
        <w:gridCol w:w="4"/>
        <w:gridCol w:w="287"/>
        <w:gridCol w:w="750"/>
        <w:gridCol w:w="1194"/>
        <w:gridCol w:w="4064"/>
        <w:gridCol w:w="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1" w:type="dxa"/>
            <w:gridSpan w:val="3"/>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附件1</w:t>
            </w:r>
          </w:p>
        </w:tc>
        <w:tc>
          <w:tcPr>
            <w:tcW w:w="940" w:type="dxa"/>
            <w:gridSpan w:val="3"/>
            <w:noWrap w:val="0"/>
            <w:vAlign w:val="center"/>
          </w:tcPr>
          <w:p>
            <w:pPr>
              <w:rPr>
                <w:rFonts w:hint="eastAsia" w:ascii="宋体" w:hAnsi="宋体" w:eastAsia="宋体" w:cs="宋体"/>
                <w:i w:val="0"/>
                <w:color w:val="000000"/>
                <w:sz w:val="24"/>
                <w:szCs w:val="24"/>
                <w:u w:val="none"/>
              </w:rPr>
            </w:pPr>
          </w:p>
        </w:tc>
        <w:tc>
          <w:tcPr>
            <w:tcW w:w="873" w:type="dxa"/>
            <w:gridSpan w:val="3"/>
            <w:noWrap w:val="0"/>
            <w:vAlign w:val="center"/>
          </w:tcPr>
          <w:p>
            <w:pPr>
              <w:rPr>
                <w:rFonts w:hint="eastAsia" w:ascii="宋体" w:hAnsi="宋体" w:eastAsia="宋体" w:cs="宋体"/>
                <w:i w:val="0"/>
                <w:color w:val="000000"/>
                <w:sz w:val="24"/>
                <w:szCs w:val="24"/>
                <w:u w:val="none"/>
              </w:rPr>
            </w:pPr>
          </w:p>
        </w:tc>
        <w:tc>
          <w:tcPr>
            <w:tcW w:w="900" w:type="dxa"/>
            <w:gridSpan w:val="3"/>
            <w:noWrap w:val="0"/>
            <w:vAlign w:val="center"/>
          </w:tcPr>
          <w:p>
            <w:pPr>
              <w:rPr>
                <w:rFonts w:hint="eastAsia" w:ascii="宋体" w:hAnsi="宋体" w:eastAsia="宋体" w:cs="宋体"/>
                <w:i w:val="0"/>
                <w:color w:val="000000"/>
                <w:sz w:val="24"/>
                <w:szCs w:val="24"/>
                <w:u w:val="none"/>
              </w:rPr>
            </w:pPr>
          </w:p>
        </w:tc>
        <w:tc>
          <w:tcPr>
            <w:tcW w:w="477" w:type="dxa"/>
            <w:gridSpan w:val="3"/>
            <w:noWrap w:val="0"/>
            <w:vAlign w:val="center"/>
          </w:tcPr>
          <w:p>
            <w:pPr>
              <w:rPr>
                <w:rFonts w:hint="eastAsia" w:ascii="宋体" w:hAnsi="宋体" w:eastAsia="宋体" w:cs="宋体"/>
                <w:i w:val="0"/>
                <w:color w:val="000000"/>
                <w:sz w:val="24"/>
                <w:szCs w:val="24"/>
                <w:u w:val="none"/>
              </w:rPr>
            </w:pPr>
          </w:p>
        </w:tc>
        <w:tc>
          <w:tcPr>
            <w:tcW w:w="832" w:type="dxa"/>
            <w:gridSpan w:val="3"/>
            <w:noWrap w:val="0"/>
            <w:vAlign w:val="center"/>
          </w:tcPr>
          <w:p>
            <w:pPr>
              <w:rPr>
                <w:rFonts w:hint="eastAsia" w:ascii="宋体" w:hAnsi="宋体" w:eastAsia="宋体" w:cs="宋体"/>
                <w:i w:val="0"/>
                <w:color w:val="000000"/>
                <w:sz w:val="24"/>
                <w:szCs w:val="24"/>
                <w:u w:val="none"/>
              </w:rPr>
            </w:pPr>
          </w:p>
        </w:tc>
        <w:tc>
          <w:tcPr>
            <w:tcW w:w="1105" w:type="dxa"/>
            <w:gridSpan w:val="3"/>
            <w:noWrap w:val="0"/>
            <w:vAlign w:val="center"/>
          </w:tcPr>
          <w:p>
            <w:pPr>
              <w:rPr>
                <w:rFonts w:hint="eastAsia" w:ascii="宋体" w:hAnsi="宋体" w:eastAsia="宋体" w:cs="宋体"/>
                <w:i w:val="0"/>
                <w:color w:val="000000"/>
                <w:sz w:val="24"/>
                <w:szCs w:val="24"/>
                <w:u w:val="none"/>
              </w:rPr>
            </w:pPr>
          </w:p>
        </w:tc>
        <w:tc>
          <w:tcPr>
            <w:tcW w:w="627" w:type="dxa"/>
            <w:gridSpan w:val="3"/>
            <w:noWrap w:val="0"/>
            <w:vAlign w:val="center"/>
          </w:tcPr>
          <w:p>
            <w:pPr>
              <w:rPr>
                <w:rFonts w:hint="eastAsia" w:ascii="宋体" w:hAnsi="宋体" w:eastAsia="宋体" w:cs="宋体"/>
                <w:i w:val="0"/>
                <w:color w:val="000000"/>
                <w:sz w:val="24"/>
                <w:szCs w:val="24"/>
                <w:u w:val="none"/>
              </w:rPr>
            </w:pPr>
          </w:p>
        </w:tc>
        <w:tc>
          <w:tcPr>
            <w:tcW w:w="1364" w:type="dxa"/>
            <w:gridSpan w:val="3"/>
            <w:noWrap w:val="0"/>
            <w:vAlign w:val="center"/>
          </w:tcPr>
          <w:p>
            <w:pPr>
              <w:rPr>
                <w:rFonts w:hint="eastAsia" w:ascii="宋体" w:hAnsi="宋体" w:eastAsia="宋体" w:cs="宋体"/>
                <w:i w:val="0"/>
                <w:color w:val="000000"/>
                <w:sz w:val="24"/>
                <w:szCs w:val="24"/>
                <w:u w:val="none"/>
              </w:rPr>
            </w:pPr>
          </w:p>
        </w:tc>
        <w:tc>
          <w:tcPr>
            <w:tcW w:w="736" w:type="dxa"/>
            <w:gridSpan w:val="3"/>
            <w:noWrap w:val="0"/>
            <w:vAlign w:val="center"/>
          </w:tcPr>
          <w:p>
            <w:pPr>
              <w:rPr>
                <w:rFonts w:hint="eastAsia" w:ascii="宋体" w:hAnsi="宋体" w:eastAsia="宋体" w:cs="宋体"/>
                <w:i w:val="0"/>
                <w:color w:val="000000"/>
                <w:sz w:val="24"/>
                <w:szCs w:val="24"/>
                <w:u w:val="none"/>
              </w:rPr>
            </w:pPr>
          </w:p>
        </w:tc>
        <w:tc>
          <w:tcPr>
            <w:tcW w:w="750" w:type="dxa"/>
            <w:noWrap w:val="0"/>
            <w:vAlign w:val="center"/>
          </w:tcPr>
          <w:p>
            <w:pPr>
              <w:rPr>
                <w:rFonts w:hint="eastAsia" w:ascii="宋体" w:hAnsi="宋体" w:eastAsia="宋体" w:cs="宋体"/>
                <w:i w:val="0"/>
                <w:color w:val="000000"/>
                <w:sz w:val="24"/>
                <w:szCs w:val="24"/>
                <w:u w:val="none"/>
              </w:rPr>
            </w:pPr>
          </w:p>
        </w:tc>
        <w:tc>
          <w:tcPr>
            <w:tcW w:w="5389" w:type="dxa"/>
            <w:gridSpan w:val="3"/>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894" w:type="dxa"/>
            <w:gridSpan w:val="34"/>
            <w:noWrap w:val="0"/>
            <w:vAlign w:val="center"/>
          </w:tcPr>
          <w:p>
            <w:pPr>
              <w:jc w:val="center"/>
              <w:rPr>
                <w:rFonts w:hint="eastAsia" w:ascii="宋体" w:hAnsi="宋体" w:eastAsia="宋体" w:cs="宋体"/>
                <w:i w:val="0"/>
                <w:color w:val="000000"/>
                <w:sz w:val="24"/>
                <w:szCs w:val="24"/>
                <w:u w:val="none"/>
              </w:rPr>
            </w:pPr>
            <w:bookmarkStart w:id="0" w:name="_GoBack"/>
            <w:r>
              <w:rPr>
                <w:rFonts w:hint="eastAsia" w:ascii="宋体" w:hAnsi="宋体" w:eastAsia="宋体" w:cs="宋体"/>
                <w:i w:val="0"/>
                <w:color w:val="000000"/>
                <w:sz w:val="40"/>
                <w:szCs w:val="40"/>
                <w:u w:val="none"/>
              </w:rPr>
              <w:t>江永县2019年急需紧缺人才需求目录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675"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报考 岗位 代码</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招考单位</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单位性质</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岗位类别</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岗位名称</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招考名额</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年龄</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学历</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学位</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专业要求</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其他资格条件</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联系人、</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联系方式</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高中语文</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本科专业：200102中国语言文学类。研究生专业：100102中国语言文学类。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高中数学</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本科专业：200501数学类。研究生专业：100501数学类。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高中物理</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本科专业：200502物理学类。研究生专业：100502物理学类。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47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高中生物</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本科专业：200510生物科学类；20061803生物工程、20061804化学工程与工业生物工程。研究生专业：100510生物学类；10061803生物化工。</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高中政治</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本科专业：200302政治学类。研究生专业：100302政治学类。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高中地理</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本科专业：200505地理科学类；20040107人文教育。研究生专业：100505地理学类。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高中美术</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本科专业：20090118美术学。研究生专业：10090107美术学。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高中音乐</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本科专业：20090103音乐学。研究生专业：10090102音乐学。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23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高中信息技术</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本科专业：200606电子、通信、计算机类。研究生专业：100606电子、通信、计算机类。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23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江永县第一中学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高中体育</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本科专业：200402体育学类。                      研究生专业：100402体育学类。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具备相应科目高中教师资格证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初中语文</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本科专业：200102中国语言文学类。研究生专业：100102中国语言文学类。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初中数学</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本科专业：200501数学类。研究生专业：100501数学类。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初中英语</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本科专业：200103外国语言文学类。研究生专业：100103外国语言文学类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初中政治</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本科专业：200302政治学类。研究生专业：100302政治学类。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初中历史</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本科专业：200105历史学类。研究生专业：100105历史学类。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初中地理</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本科专业：200505地理科学类；20040107人文教育。研究生专业：100505地理学类。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47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初中生物</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本科专业：200510生物科学类；20061803生物工程、20061804化学工程与工业生物工程。研究生专业：100510生物学类；10061803生物化工。</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初中物理</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本科专业：200502物理学类。研究生专业：100502物理学类。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231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江永县第三中学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初中化学</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本科专业：200503化学类；20061801化学工程与工艺、20061804化学工程与工业生物工程。研究生专业：100503化学类；10061801化学工程、10061802化学工艺、10061803生物化工、10061804应用化学。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初中语文</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本科专业：200102中国语言文学类。研究生专业：100102中国语言文学类。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初中数学</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本科专业：200501数学类。研究生专业：100501数学类。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初中英语</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本科专业：200103外国语言文学类。研究生专业：100103外国语言文学类。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初中物理</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本科专业：200502物理学类。研究生专业：100502物理学类。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231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初中化学</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本科专业：200503化学类；20061801化学工程与工艺、20061804化学工程与工业生物工程。研究生专业：100503化学类；10061801化学工程、10061802化学工艺、10061803生物化工、10061804应用化学。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47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初中生物</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本科专业：200510生物科学类；20061803生物工程、20061804化学工程与工业生物工程。研究生专业：100510生物学类；10061803生物化工。</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初中地理</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本科专业：200505地理科学类；20040107人文教育。研究生专业：100505地理学类。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初中政治</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本科专业：200302政治学类。研究生专业：100302政治学类。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江永县第二中学</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初中历史</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“双一流”范围内或原“985”“211”院校全日制本科及以上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本科专业：200105历史学类。研究生专业：100105历史学类。</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具备相应科目初中及以上教师资格证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18974673267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0746-2372019</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因教师资格证正在认定暂时无法提供的，报名时需提供教师资格考试合格证明以及认定机构出具的受理凭证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1．研究生专业：10080202儿科学、10080223临床医学；2.本科专业：20080201临床医学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1.研究生专业：10080201内科学、10080223临床医学；2.本科专业：20080201临床医学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眼耳鼻喉科医师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1.研究生专业：10080212眼科学、10080213耳鼻咽喉科学、10080223临床医学；2.本科专业：20080201临床医学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1.研究生专业：10080210外科学、10080223临床医学；2.本科专业：20080201临床医学。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1.研究生专业：10080211妇产科学、10080223临床医学；2.本科专业：20080201临床医学。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急诊科医师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1.研究生专业：10080218急诊医学、10080223临床医学；2.本科专业：20080201临床医学。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1.研究生专业：10080206皮肤病与性病学、10080223临床医学；2.本科专业：20080201临床医学。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1.研究生专业：10080217麻醉学、10080223临床医学；2.本科专业：20080201临床医学、20080202麻醉学。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1.研究生专业：10080219口腔基础医学、10080220口腔临床医学、10080224口腔医学、10080223临床医学；2.本科专业：20080201临床医学、20080207口腔医学。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891"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江永县人民医院</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1.研究生专业：10080221中西医结合基础、10080222中西医结合临床、100803中医学类；2.本科专业：20080301中医学、20080302针灸推拿学。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1.2016届-2018届全日制统招二本以上毕业生执业资格暂不做要求，但必须在2020年12月底以前取得相应专业资格；2.取得了相应专业中级及以上卫生专技任职资格的人员，年龄放宽到40岁。</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杨红华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13874625692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0746-5723901</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84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江永县妇幼保健计划生育服务中心</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田义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18244727348</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0746-5722830</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84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江永县妇幼保健计划生育服务中心</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田义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18244727348</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0746-5722830</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105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江永县妇幼保健计划生育服务中心</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妇产科医师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1.研究生专业：10080211妇产科学、10080223临床医学；2.本科专业：20080201临床医学。</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田义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18244727348</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0746-5722830</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900" w:hRule="atLeast"/>
        </w:trPr>
        <w:tc>
          <w:tcPr>
            <w:tcW w:w="4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江永县妇幼保健计划生育服务中心</w:t>
            </w: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差额拨款</w:t>
            </w: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专业技术</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超声诊断医师</w:t>
            </w: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35周岁及以下</w:t>
            </w: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全日制二本及以上</w:t>
            </w: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w:t>
            </w: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本科专业：20080603医学影像技术。</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田义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18244727348</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0746-5722830</w:t>
            </w: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570" w:hRule="atLeast"/>
        </w:trPr>
        <w:tc>
          <w:tcPr>
            <w:tcW w:w="44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90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9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4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w:t>
            </w:r>
          </w:p>
        </w:tc>
        <w:tc>
          <w:tcPr>
            <w:tcW w:w="83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2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04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4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bl>
    <w:p>
      <w:pPr>
        <w:keepNext w:val="0"/>
        <w:keepLines w:val="0"/>
        <w:widowControl/>
        <w:suppressLineNumbers w:val="0"/>
        <w:ind w:firstLine="320" w:firstLineChars="20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具有高学历、高职称的报考人员，年龄可按下列情况适当放宽：具有正高级专业技术职务任职资格人员或全日制博士研究生年龄可放宽到50周岁以下；具有副高级专业技术职务任职资格人员或全日制硕士研究生，年龄可放宽到45周岁以下。</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7600"/>
    <w:rsid w:val="030A7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2018-11-15T06:31:00Z</dcterms:created>
  <dc:creator>天空</dc:creator>
  <cp:lastModifiedBy>天空</cp:lastModifiedBy>
  <dcterms:modified xsi:type="dcterms:W3CDTF">2018-11-15T06:32:48Z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